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446 vom 7. September 1990</w:t>
      </w:r>
    </w:p>
    <w:p>
      <w:r>
        <w:t>Bundesgericht (BGE), 1990-09-07, DE</w:t>
      </w:r>
    </w:p>
    <w:p>
      <w:r>
        <w:rPr>
          <w:b/>
        </w:rPr>
        <w:t xml:space="preserve">Quelle: </w:t>
      </w:r>
      <w:r>
        <w:t>https://mcp.opencaselaw.ch/entscheid/bge_116 IA 446</w:t>
      </w:r>
    </w:p>
    <w:p>
      <w:r>
        <w:t>FR: BGE 116 IA 446 du 7 septembre 1990</w:t>
      </w:r>
    </w:p>
    <w:p>
      <w:r>
        <w:t>IT: BGE 116 IA 446 del 7 settembre 1990</w:t>
      </w:r>
    </w:p>
    <w:p>
      <w:pPr>
        <w:pStyle w:val="Heading2"/>
      </w:pPr>
      <w:r>
        <w:t>Regeste</w:t>
      </w:r>
    </w:p>
    <w:p>
      <w:r>
        <w:t>Regeste Art. 87 OG; nicht wiedergutzumachender Nachteil. Die Begriffe des Nachteils als materielle Voraussetzung des vorsorglichen Rechtsschutzes (vorliegend Art. 53 Ziff. 1 URG) und als formell-prozessuale Voraussetzung der Beschwerde nach Art. 87 OG sind nicht identisch. Jener liegt in der Beeinträchtigung des Beschwerdeführers in seiner materiellen Rechtsstellung, dieser in der Verweigerung der Verfassungskontrolle.</w:t>
      </w:r>
    </w:p>
    <w:p>
      <w:pPr>
        <w:pStyle w:val="Heading2"/>
      </w:pPr>
      <w:r>
        <w:t>Erwägungen</w:t>
      </w:r>
    </w:p>
    <w:p>
      <w:r>
        <w:rPr>
          <w:b/>
        </w:rPr>
        <w:t>E. 2</w:t>
      </w:r>
    </w:p>
    <w:p>
      <w:r>
        <w:t>Die Beschwerdegegnerin beantragt, auf die Beschwerde nicht einzutreten, weil der für die Anfechtbarkeit eines Zwischenentscheides gemäss Art. 87 OG verlangte nicht wiedergutzumachende Nachteil vorliegend nicht gegeben sei. Dem ist nicht so, denn die Begriffe des Nachteils als materielle Voraussetzung des vorsorglichen Rechtsschutzes und als formell-prozessuale Voraussetzung der Beschwerde nach Art. 87 OG sind nicht identisch. Die vorsorgliche Massnahme will die vorläufige Beurteilung und antizipierte Vollstreckung zum Zwecke der Sicherung des fälligen Anspruchs ermöglichen und ist gegeben, wenn das Zuwarten bis zum Entscheid im ordentlichen Verfahren dem Kläger wirtschaftlichen oder immateriellen Schaden brächte. Der Nachteil ist hier Anspruchsvoraussetzung. Fehlt er, ist das Begehren abzuweisen. Der Nachteil nach Art. 87 OG ist demgegenüber Beschwerdevoraussetzung; fehlt er, wird auf die Beschwerde nicht eingetreten. Erforderlich ist dabei nicht eine materiellrechtliche Beeinträchtigung im Falle des Zuwartens. Es genügt auch ein bloss formeller Rechtsnachteil ( BGE 115 Ia 314 und 319), welcher namentlich darin bestehen kann, dass eine spätere Anfechtung des Massnahmeentscheides zufolge dessen Wegfalls mit dem Hauptentscheid nicht mehr möglich ist ( BGE 108 II 71 , BGE 103 II 122 ). Der Nachteil liegt nicht in der Beeinträchtigung des Beschwerdeführers in seiner materiellen Rechtsstellung, sondern in der Verweigerung der Verfassungskontrolle, d.h. in der Beeinträchtigung seiner formellen Rechtsstellung. Letztinstanzliche Massnahmeentscheide sind deshalb gemäss der bisherigen Praxis stets beschwerdefähig, und es kann offenbleiben, ob der angefochtene Beschluss, der nicht BGE 116 Ia 446 S. 448 an eine andere kantonale Behörde weitergezogen werden konnte, als End- oder bloss als Zwischenentscheid im Sinne von Art. 87 OG anzusehen sei ( BGE 114 II 369 E. 2a, 108 II 71 mit Hinweisen). Auf die Beschwerde ist demnach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